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2B72A2" w:rsidP="002B72A2">
      <w:pPr>
        <w:rPr>
          <w:b/>
          <w:sz w:val="28"/>
          <w:szCs w:val="28"/>
        </w:rPr>
      </w:pPr>
      <w:r>
        <w:rPr>
          <w:b/>
          <w:sz w:val="28"/>
          <w:szCs w:val="28"/>
        </w:rPr>
        <w:t>The Regulatory Committee</w:t>
      </w:r>
    </w:p>
    <w:p w:rsidR="002B72A2" w:rsidP="002B72A2">
      <w:pPr>
        <w:rPr>
          <w:b/>
        </w:rPr>
      </w:pPr>
    </w:p>
    <w:p w:rsidR="004F633D" w:rsidRPr="008F0A2D" w:rsidP="008F0A2D">
      <w:pPr>
        <w:jc w:val="both"/>
        <w:rPr>
          <w:rFonts w:eastAsia="Arial" w:cs="Arial"/>
          <w:lang w:eastAsia="en-US" w:bidi="en-US"/>
        </w:rPr>
      </w:pPr>
      <w:r w:rsidRPr="008F0A2D">
        <w:rPr>
          <w:rFonts w:eastAsia="Arial" w:cs="Arial"/>
          <w:lang w:eastAsia="en-US" w:bidi="en-US"/>
        </w:rPr>
        <w:t>The Committee comprises twelve</w:t>
      </w:r>
      <w:r>
        <w:rPr>
          <w:rFonts w:eastAsia="Arial" w:cs="Arial"/>
          <w:lang w:eastAsia="en-US" w:bidi="en-US"/>
        </w:rPr>
        <w:t xml:space="preserve"> </w:t>
      </w:r>
      <w:r w:rsidRPr="008F0A2D">
        <w:rPr>
          <w:rFonts w:eastAsia="Arial" w:cs="Arial"/>
          <w:lang w:eastAsia="en-US" w:bidi="en-US"/>
        </w:rPr>
        <w:t>County</w:t>
      </w:r>
      <w:r>
        <w:rPr>
          <w:rFonts w:eastAsia="Arial" w:cs="Arial"/>
          <w:lang w:eastAsia="en-US" w:bidi="en-US"/>
        </w:rPr>
        <w:t xml:space="preserve"> Councillors </w:t>
      </w:r>
      <w:r w:rsidRPr="008F0A2D">
        <w:rPr>
          <w:rFonts w:eastAsia="Arial" w:cs="Arial"/>
          <w:lang w:eastAsia="en-US" w:bidi="en-US"/>
        </w:rPr>
        <w:t xml:space="preserve">and deals principally </w:t>
      </w:r>
    </w:p>
    <w:p w:rsidR="004F633D" w:rsidRPr="008F0A2D" w:rsidP="000B1BA1">
      <w:pPr>
        <w:rPr>
          <w:rFonts w:eastAsia="Arial" w:cs="Arial"/>
          <w:lang w:eastAsia="en-US" w:bidi="en-US"/>
        </w:rPr>
      </w:pPr>
      <w:r w:rsidRPr="008F0A2D">
        <w:rPr>
          <w:rFonts w:eastAsia="Arial" w:cs="Arial"/>
          <w:lang w:eastAsia="en-US" w:bidi="en-US"/>
        </w:rPr>
        <w:t>with  claims relating  to  public  rights  of  way  and  various  licensing  and registration functions (except registration</w:t>
      </w:r>
      <w:r w:rsidR="000B1BA1">
        <w:rPr>
          <w:rFonts w:eastAsia="Arial" w:cs="Arial"/>
          <w:lang w:eastAsia="en-US" w:bidi="en-US"/>
        </w:rPr>
        <w:t xml:space="preserve"> </w:t>
      </w:r>
      <w:r w:rsidRPr="008F0A2D">
        <w:rPr>
          <w:rFonts w:eastAsia="Arial" w:cs="Arial"/>
          <w:lang w:eastAsia="en-US" w:bidi="en-US"/>
        </w:rPr>
        <w:t>functions</w:t>
      </w:r>
      <w:r w:rsidR="000B1BA1">
        <w:rPr>
          <w:rFonts w:eastAsia="Arial" w:cs="Arial"/>
          <w:lang w:eastAsia="en-US" w:bidi="en-US"/>
        </w:rPr>
        <w:t xml:space="preserve"> </w:t>
      </w:r>
      <w:r w:rsidRPr="008F0A2D">
        <w:rPr>
          <w:rFonts w:eastAsia="Arial" w:cs="Arial"/>
          <w:lang w:eastAsia="en-US" w:bidi="en-US"/>
        </w:rPr>
        <w:t>relating</w:t>
      </w:r>
      <w:r w:rsidR="000B1BA1">
        <w:rPr>
          <w:rFonts w:eastAsia="Arial" w:cs="Arial"/>
          <w:lang w:eastAsia="en-US" w:bidi="en-US"/>
        </w:rPr>
        <w:t xml:space="preserve"> </w:t>
      </w:r>
      <w:r w:rsidRPr="008F0A2D">
        <w:rPr>
          <w:rFonts w:eastAsia="Arial" w:cs="Arial"/>
          <w:lang w:eastAsia="en-US" w:bidi="en-US"/>
        </w:rPr>
        <w:t xml:space="preserve">to Social Services). </w:t>
      </w:r>
    </w:p>
    <w:p w:rsidR="004F633D" w:rsidRPr="008F0A2D" w:rsidP="008F0A2D">
      <w:pPr>
        <w:jc w:val="both"/>
        <w:rPr>
          <w:rFonts w:eastAsia="Arial" w:cs="Arial"/>
          <w:lang w:eastAsia="en-US" w:bidi="en-US"/>
        </w:rPr>
      </w:pPr>
      <w:r w:rsidRPr="008F0A2D">
        <w:rPr>
          <w:rFonts w:eastAsia="Arial" w:cs="Arial"/>
          <w:lang w:eastAsia="en-US" w:bidi="en-US"/>
        </w:rPr>
        <w:t xml:space="preserve"> </w:t>
      </w:r>
    </w:p>
    <w:p w:rsidR="004F633D" w:rsidRPr="008F0A2D" w:rsidP="008F0A2D">
      <w:pPr>
        <w:jc w:val="both"/>
        <w:rPr>
          <w:rFonts w:eastAsia="Arial" w:cs="Arial"/>
          <w:lang w:eastAsia="en-US" w:bidi="en-US"/>
        </w:rPr>
      </w:pPr>
      <w:r w:rsidRPr="008F0A2D">
        <w:rPr>
          <w:rFonts w:eastAsia="Arial" w:cs="Arial"/>
          <w:lang w:eastAsia="en-US" w:bidi="en-US"/>
        </w:rPr>
        <w:t xml:space="preserve">Meetings are open to the public but they may be excluded where information </w:t>
      </w:r>
    </w:p>
    <w:p w:rsidR="004F633D" w:rsidRPr="008F0A2D" w:rsidP="008F0A2D">
      <w:pPr>
        <w:jc w:val="both"/>
        <w:rPr>
          <w:rFonts w:eastAsia="Arial" w:cs="Arial"/>
          <w:lang w:eastAsia="en-US" w:bidi="en-US"/>
        </w:rPr>
      </w:pPr>
      <w:r w:rsidRPr="008F0A2D">
        <w:rPr>
          <w:rFonts w:eastAsia="Arial" w:cs="Arial"/>
          <w:lang w:eastAsia="en-US" w:bidi="en-US"/>
        </w:rPr>
        <w:t xml:space="preserve">of  an  exempt  or  confidential  nature  is  being  discussed  –  see  Access  to </w:t>
      </w:r>
    </w:p>
    <w:p w:rsidR="004F633D" w:rsidRPr="008F0A2D" w:rsidP="008F0A2D">
      <w:pPr>
        <w:jc w:val="both"/>
        <w:rPr>
          <w:rFonts w:cs="Arial"/>
          <w:b/>
        </w:rPr>
      </w:pPr>
      <w:r w:rsidRPr="008F0A2D">
        <w:rPr>
          <w:rFonts w:eastAsia="Arial" w:cs="Arial"/>
          <w:lang w:eastAsia="en-US" w:bidi="en-US"/>
        </w:rPr>
        <w:t>Information Procedure Rules set out at Appendix ‘H’ to th</w:t>
      </w:r>
      <w:r w:rsidR="000B1BA1">
        <w:rPr>
          <w:rFonts w:eastAsia="Arial" w:cs="Arial"/>
          <w:lang w:eastAsia="en-US" w:bidi="en-US"/>
        </w:rPr>
        <w:t>is</w:t>
      </w:r>
      <w:r w:rsidRPr="008F0A2D">
        <w:rPr>
          <w:rFonts w:eastAsia="Arial" w:cs="Arial"/>
          <w:lang w:eastAsia="en-US" w:bidi="en-US"/>
        </w:rPr>
        <w:t xml:space="preserve"> Constitution.  </w:t>
      </w:r>
    </w:p>
    <w:p w:rsidR="004F633D" w:rsidRPr="008F0A2D" w:rsidP="002B72A2">
      <w:pPr>
        <w:rPr>
          <w:rFonts w:cs="Arial"/>
          <w:b/>
        </w:rPr>
      </w:pPr>
    </w:p>
    <w:p w:rsidR="002B72A2" w:rsidRPr="008F0A2D" w:rsidP="002B72A2">
      <w:pPr>
        <w:rPr>
          <w:rFonts w:cs="Arial"/>
          <w:b/>
        </w:rPr>
      </w:pPr>
      <w:r w:rsidRPr="008F0A2D">
        <w:rPr>
          <w:rFonts w:cs="Arial"/>
          <w:b/>
        </w:rPr>
        <w:t>Terms of Reference</w:t>
      </w:r>
    </w:p>
    <w:p w:rsidR="002B72A2" w:rsidRPr="008F0A2D" w:rsidP="002B72A2">
      <w:pPr>
        <w:rPr>
          <w:rFonts w:cs="Arial"/>
          <w:b/>
        </w:rPr>
      </w:pPr>
    </w:p>
    <w:p w:rsidR="002B72A2" w:rsidRPr="008F0A2D" w:rsidP="002B72A2">
      <w:pPr>
        <w:tabs>
          <w:tab w:val="left" w:pos="1008"/>
        </w:tabs>
        <w:jc w:val="both"/>
        <w:rPr>
          <w:rFonts w:cs="Arial"/>
        </w:rPr>
      </w:pPr>
      <w:r w:rsidRPr="008F0A2D">
        <w:rPr>
          <w:rFonts w:cs="Arial"/>
        </w:rPr>
        <w:t>The Committee shall carry out the following functions:</w:t>
      </w:r>
    </w:p>
    <w:p w:rsidR="00807F01" w:rsidRPr="008F0A2D" w:rsidP="002B72A2">
      <w:pPr>
        <w:tabs>
          <w:tab w:val="left" w:pos="1008"/>
        </w:tabs>
        <w:jc w:val="both"/>
        <w:rPr>
          <w:rFonts w:cs="Arial"/>
        </w:rPr>
      </w:pPr>
    </w:p>
    <w:p w:rsidR="009F5FF6" w:rsidRPr="008F0A2D" w:rsidP="002B72A2">
      <w:pPr>
        <w:tabs>
          <w:tab w:val="left" w:pos="1008"/>
        </w:tabs>
        <w:jc w:val="both"/>
        <w:rPr>
          <w:rFonts w:cs="Arial"/>
          <w:b/>
        </w:rPr>
      </w:pPr>
      <w:r w:rsidRPr="008F0A2D">
        <w:rPr>
          <w:rFonts w:cs="Arial"/>
          <w:b/>
        </w:rPr>
        <w:t xml:space="preserve">Public Rights of Way  </w:t>
      </w:r>
    </w:p>
    <w:p w:rsidR="002B72A2" w:rsidRPr="008F0A2D" w:rsidP="002B72A2">
      <w:pPr>
        <w:rPr>
          <w:rFonts w:cs="Arial"/>
          <w:b/>
        </w:rPr>
      </w:pPr>
    </w:p>
    <w:p w:rsidR="002B72A2" w:rsidRPr="008F0A2D" w:rsidP="002B72A2">
      <w:pPr>
        <w:ind w:left="720" w:hanging="720"/>
        <w:jc w:val="both"/>
        <w:rPr>
          <w:rFonts w:cs="Arial"/>
        </w:rPr>
      </w:pPr>
      <w:r w:rsidRPr="008F0A2D">
        <w:rPr>
          <w:rFonts w:cs="Arial"/>
        </w:rPr>
        <w:t>1.</w:t>
      </w:r>
      <w:r w:rsidRPr="008F0A2D">
        <w:rPr>
          <w:rFonts w:cs="Arial"/>
        </w:rPr>
        <w:tab/>
        <w:t>To determine applications under S53 of the Wildlife and Countryside Act 1981 and to decide whether to make and promote to confirmation Orders thereunder.</w:t>
      </w:r>
    </w:p>
    <w:p w:rsidR="002B72A2" w:rsidRPr="008F0A2D" w:rsidP="002B72A2">
      <w:pPr>
        <w:tabs>
          <w:tab w:val="left" w:pos="1008"/>
        </w:tabs>
        <w:jc w:val="both"/>
        <w:rPr>
          <w:rFonts w:cs="Arial"/>
        </w:rPr>
      </w:pPr>
    </w:p>
    <w:p w:rsidR="002B72A2" w:rsidRPr="008F0A2D" w:rsidP="002B72A2">
      <w:pPr>
        <w:ind w:left="709" w:hanging="709"/>
        <w:jc w:val="both"/>
        <w:rPr>
          <w:rFonts w:cs="Arial"/>
        </w:rPr>
      </w:pPr>
      <w:r w:rsidRPr="008F0A2D">
        <w:rPr>
          <w:rFonts w:cs="Arial"/>
        </w:rPr>
        <w:t>2.</w:t>
      </w:r>
      <w:r w:rsidRPr="008F0A2D">
        <w:rPr>
          <w:rFonts w:cs="Arial"/>
        </w:rPr>
        <w:tab/>
        <w:t>To exercise the following functions, duties and powers of the Council under the Highways Act 1980:</w:t>
      </w:r>
    </w:p>
    <w:p w:rsidR="002B72A2" w:rsidRPr="008F0A2D" w:rsidP="002B72A2">
      <w:pPr>
        <w:jc w:val="both"/>
        <w:rPr>
          <w:rFonts w:cs="Arial"/>
        </w:rPr>
      </w:pPr>
    </w:p>
    <w:p w:rsidR="002B72A2" w:rsidRPr="008F0A2D" w:rsidP="002B72A2">
      <w:pPr>
        <w:tabs>
          <w:tab w:val="left" w:pos="709"/>
        </w:tabs>
        <w:ind w:left="1560" w:hanging="851"/>
        <w:jc w:val="both"/>
        <w:rPr>
          <w:rFonts w:cs="Arial"/>
        </w:rPr>
      </w:pPr>
      <w:r w:rsidRPr="008F0A2D">
        <w:rPr>
          <w:rFonts w:cs="Arial"/>
        </w:rPr>
        <w:t>(a)</w:t>
      </w:r>
      <w:r w:rsidRPr="008F0A2D">
        <w:rPr>
          <w:rFonts w:cs="Arial"/>
        </w:rPr>
        <w:tab/>
      </w:r>
      <w:r w:rsidRPr="008F0A2D">
        <w:rPr>
          <w:rFonts w:cs="Arial"/>
        </w:rPr>
        <w:t>to</w:t>
      </w:r>
      <w:r w:rsidRPr="008F0A2D">
        <w:rPr>
          <w:rFonts w:cs="Arial"/>
        </w:rPr>
        <w:t xml:space="preserve"> authorise creation of footpaths or bridleways by agreement under Section 25;</w:t>
      </w:r>
    </w:p>
    <w:p w:rsidR="002B72A2" w:rsidRPr="008F0A2D" w:rsidP="002B72A2">
      <w:pPr>
        <w:tabs>
          <w:tab w:val="left" w:pos="709"/>
        </w:tabs>
        <w:ind w:left="1560" w:hanging="851"/>
        <w:jc w:val="both"/>
        <w:rPr>
          <w:rFonts w:cs="Arial"/>
        </w:rPr>
      </w:pPr>
      <w:r w:rsidRPr="008F0A2D">
        <w:rPr>
          <w:rFonts w:cs="Arial"/>
        </w:rPr>
        <w:t>(b)</w:t>
      </w:r>
      <w:r w:rsidRPr="008F0A2D">
        <w:rPr>
          <w:rFonts w:cs="Arial"/>
        </w:rPr>
        <w:tab/>
      </w:r>
      <w:r w:rsidRPr="008F0A2D">
        <w:rPr>
          <w:rFonts w:cs="Arial"/>
        </w:rPr>
        <w:t>to</w:t>
      </w:r>
      <w:r w:rsidRPr="008F0A2D">
        <w:rPr>
          <w:rFonts w:cs="Arial"/>
        </w:rPr>
        <w:t xml:space="preserve"> decide whether to make and promote to confirmation Orders for the creation of footpaths and bridleways under Section 26;</w:t>
      </w:r>
    </w:p>
    <w:p w:rsidR="002B72A2" w:rsidRPr="008F0A2D" w:rsidP="002B72A2">
      <w:pPr>
        <w:tabs>
          <w:tab w:val="left" w:pos="709"/>
        </w:tabs>
        <w:ind w:left="1560" w:hanging="851"/>
        <w:jc w:val="both"/>
        <w:rPr>
          <w:rFonts w:cs="Arial"/>
        </w:rPr>
      </w:pPr>
      <w:r w:rsidRPr="008F0A2D">
        <w:rPr>
          <w:rFonts w:cs="Arial"/>
        </w:rPr>
        <w:t xml:space="preserve">(c) </w:t>
      </w:r>
      <w:r w:rsidRPr="008F0A2D">
        <w:rPr>
          <w:rFonts w:cs="Arial"/>
        </w:rPr>
        <w:tab/>
      </w:r>
      <w:r w:rsidRPr="008F0A2D">
        <w:rPr>
          <w:rFonts w:cs="Arial"/>
        </w:rPr>
        <w:t>to</w:t>
      </w:r>
      <w:r w:rsidRPr="008F0A2D">
        <w:rPr>
          <w:rFonts w:cs="Arial"/>
        </w:rPr>
        <w:t xml:space="preserve"> decide whether to make and promote to confirmation Orders for the extinguishment of footpaths and bridleways in accordance with Section 118;</w:t>
      </w:r>
    </w:p>
    <w:p w:rsidR="002B72A2" w:rsidRPr="008F0A2D" w:rsidP="002B72A2">
      <w:pPr>
        <w:tabs>
          <w:tab w:val="left" w:pos="709"/>
        </w:tabs>
        <w:ind w:left="1560" w:hanging="851"/>
        <w:jc w:val="both"/>
        <w:rPr>
          <w:rFonts w:cs="Arial"/>
        </w:rPr>
      </w:pPr>
      <w:r w:rsidRPr="008F0A2D">
        <w:rPr>
          <w:rFonts w:cs="Arial"/>
        </w:rPr>
        <w:t>(d)</w:t>
      </w:r>
      <w:r w:rsidRPr="008F0A2D">
        <w:rPr>
          <w:rFonts w:cs="Arial"/>
        </w:rPr>
        <w:tab/>
      </w:r>
      <w:r w:rsidRPr="008F0A2D">
        <w:rPr>
          <w:rFonts w:cs="Arial"/>
        </w:rPr>
        <w:t>to</w:t>
      </w:r>
      <w:r w:rsidRPr="008F0A2D">
        <w:rPr>
          <w:rFonts w:cs="Arial"/>
        </w:rPr>
        <w:t xml:space="preserve"> decide whether to make and promote to confirmation rail crossing extinguishment orders under Section 118A;</w:t>
      </w:r>
    </w:p>
    <w:p w:rsidR="002B72A2" w:rsidRPr="008F0A2D" w:rsidP="002B72A2">
      <w:pPr>
        <w:tabs>
          <w:tab w:val="left" w:pos="709"/>
        </w:tabs>
        <w:ind w:left="1560" w:hanging="851"/>
        <w:jc w:val="both"/>
        <w:rPr>
          <w:rFonts w:cs="Arial"/>
        </w:rPr>
      </w:pPr>
      <w:r w:rsidRPr="008F0A2D">
        <w:rPr>
          <w:rFonts w:cs="Arial"/>
        </w:rPr>
        <w:t>(e)</w:t>
      </w:r>
      <w:r w:rsidRPr="008F0A2D">
        <w:rPr>
          <w:rFonts w:cs="Arial"/>
        </w:rPr>
        <w:tab/>
      </w:r>
      <w:r w:rsidRPr="008F0A2D">
        <w:rPr>
          <w:rFonts w:cs="Arial"/>
        </w:rPr>
        <w:t>to</w:t>
      </w:r>
      <w:r w:rsidRPr="008F0A2D">
        <w:rPr>
          <w:rFonts w:cs="Arial"/>
        </w:rPr>
        <w:t xml:space="preserve"> decide whether to make and promote to confirmation special extinguishment orders for the purpose of preventing or reducing crime or of protecting school pupils or staff under Section 118B;</w:t>
      </w:r>
    </w:p>
    <w:p w:rsidR="002B72A2" w:rsidRPr="008F0A2D" w:rsidP="002B72A2">
      <w:pPr>
        <w:tabs>
          <w:tab w:val="left" w:pos="709"/>
        </w:tabs>
        <w:ind w:left="1560" w:hanging="851"/>
        <w:jc w:val="both"/>
        <w:rPr>
          <w:rFonts w:cs="Arial"/>
        </w:rPr>
      </w:pPr>
      <w:r w:rsidRPr="008F0A2D">
        <w:rPr>
          <w:rFonts w:cs="Arial"/>
        </w:rPr>
        <w:t>(f)</w:t>
      </w:r>
      <w:r w:rsidRPr="008F0A2D">
        <w:rPr>
          <w:rFonts w:cs="Arial"/>
        </w:rPr>
        <w:tab/>
      </w:r>
      <w:r w:rsidRPr="008F0A2D">
        <w:rPr>
          <w:rFonts w:cs="Arial"/>
        </w:rPr>
        <w:t>to</w:t>
      </w:r>
      <w:r w:rsidRPr="008F0A2D">
        <w:rPr>
          <w:rFonts w:cs="Arial"/>
        </w:rPr>
        <w:t xml:space="preserve"> decide whether to make and promote to confirmation public path extinguishment orders (Section 118ZA) and special extinguishment orders (Section 118C);</w:t>
      </w:r>
    </w:p>
    <w:p w:rsidR="002B72A2" w:rsidRPr="008F0A2D" w:rsidP="002B72A2">
      <w:pPr>
        <w:tabs>
          <w:tab w:val="left" w:pos="709"/>
        </w:tabs>
        <w:ind w:left="1560" w:hanging="851"/>
        <w:rPr>
          <w:rFonts w:cs="Arial"/>
        </w:rPr>
      </w:pPr>
      <w:r w:rsidRPr="008F0A2D">
        <w:rPr>
          <w:rFonts w:cs="Arial"/>
        </w:rPr>
        <w:t>(g)</w:t>
      </w:r>
      <w:r w:rsidRPr="008F0A2D">
        <w:rPr>
          <w:rFonts w:cs="Arial"/>
        </w:rPr>
        <w:tab/>
      </w:r>
      <w:r w:rsidRPr="008F0A2D">
        <w:rPr>
          <w:rFonts w:cs="Arial"/>
        </w:rPr>
        <w:t>to</w:t>
      </w:r>
      <w:r w:rsidRPr="008F0A2D">
        <w:rPr>
          <w:rFonts w:cs="Arial"/>
        </w:rPr>
        <w:t xml:space="preserve"> decide whether to make and promote to confirmation Orders for the diversion of footpaths and bridleways in accordance with Section 119;</w:t>
      </w:r>
    </w:p>
    <w:p w:rsidR="002B72A2" w:rsidRPr="008F0A2D" w:rsidP="002B72A2">
      <w:pPr>
        <w:tabs>
          <w:tab w:val="left" w:pos="709"/>
        </w:tabs>
        <w:ind w:left="1560" w:hanging="851"/>
        <w:jc w:val="both"/>
        <w:rPr>
          <w:rFonts w:cs="Arial"/>
        </w:rPr>
      </w:pPr>
      <w:r w:rsidRPr="008F0A2D">
        <w:rPr>
          <w:rFonts w:cs="Arial"/>
        </w:rPr>
        <w:t>(h)</w:t>
      </w:r>
      <w:r w:rsidRPr="008F0A2D">
        <w:rPr>
          <w:rFonts w:cs="Arial"/>
        </w:rPr>
        <w:tab/>
      </w:r>
      <w:r w:rsidRPr="008F0A2D">
        <w:rPr>
          <w:rFonts w:cs="Arial"/>
        </w:rPr>
        <w:t>to</w:t>
      </w:r>
      <w:r w:rsidRPr="008F0A2D">
        <w:rPr>
          <w:rFonts w:cs="Arial"/>
        </w:rPr>
        <w:t xml:space="preserve"> decide whether to make and promote to confirmation rail crossing diversion orders under Section 119A;</w:t>
      </w:r>
    </w:p>
    <w:p w:rsidR="002B72A2" w:rsidRPr="008F0A2D" w:rsidP="002B72A2">
      <w:pPr>
        <w:tabs>
          <w:tab w:val="left" w:pos="709"/>
        </w:tabs>
        <w:ind w:left="1560" w:hanging="851"/>
        <w:jc w:val="both"/>
        <w:rPr>
          <w:rFonts w:cs="Arial"/>
        </w:rPr>
      </w:pPr>
      <w:r w:rsidRPr="008F0A2D">
        <w:rPr>
          <w:rFonts w:cs="Arial"/>
        </w:rPr>
        <w:t>(</w:t>
      </w:r>
      <w:r w:rsidRPr="008F0A2D">
        <w:rPr>
          <w:rFonts w:cs="Arial"/>
        </w:rPr>
        <w:t>i</w:t>
      </w:r>
      <w:r w:rsidRPr="008F0A2D">
        <w:rPr>
          <w:rFonts w:cs="Arial"/>
        </w:rPr>
        <w:t>)</w:t>
      </w:r>
      <w:r w:rsidRPr="008F0A2D">
        <w:rPr>
          <w:rFonts w:cs="Arial"/>
        </w:rPr>
        <w:tab/>
      </w:r>
      <w:r w:rsidRPr="008F0A2D">
        <w:rPr>
          <w:rFonts w:cs="Arial"/>
        </w:rPr>
        <w:t>to</w:t>
      </w:r>
      <w:r w:rsidRPr="008F0A2D">
        <w:rPr>
          <w:rFonts w:cs="Arial"/>
        </w:rPr>
        <w:t xml:space="preserve"> decide whether to make and promote to confirmation special diversion orders for the purpose of preventing or reducing crime or of protecting school pupils or staff under Section 119B;</w:t>
      </w:r>
    </w:p>
    <w:p w:rsidR="002B72A2" w:rsidRPr="008F0A2D" w:rsidP="002B72A2">
      <w:pPr>
        <w:tabs>
          <w:tab w:val="left" w:pos="709"/>
        </w:tabs>
        <w:ind w:left="1560" w:hanging="851"/>
        <w:jc w:val="both"/>
        <w:rPr>
          <w:rFonts w:cs="Arial"/>
        </w:rPr>
      </w:pPr>
      <w:r w:rsidRPr="008F0A2D">
        <w:rPr>
          <w:rFonts w:cs="Arial"/>
        </w:rPr>
        <w:t>(j)</w:t>
      </w:r>
      <w:r w:rsidRPr="008F0A2D">
        <w:rPr>
          <w:rFonts w:cs="Arial"/>
        </w:rPr>
        <w:tab/>
      </w:r>
      <w:r w:rsidRPr="008F0A2D">
        <w:rPr>
          <w:rFonts w:cs="Arial"/>
        </w:rPr>
        <w:t>to</w:t>
      </w:r>
      <w:r w:rsidRPr="008F0A2D">
        <w:rPr>
          <w:rFonts w:cs="Arial"/>
        </w:rPr>
        <w:t xml:space="preserve"> decide whether to make and promote to confirmation SSSI diversion orders under Section 119D;</w:t>
      </w:r>
    </w:p>
    <w:p w:rsidR="002B72A2" w:rsidRPr="008F0A2D" w:rsidP="002B72A2">
      <w:pPr>
        <w:tabs>
          <w:tab w:val="left" w:pos="709"/>
        </w:tabs>
        <w:ind w:left="1560" w:hanging="851"/>
        <w:jc w:val="both"/>
        <w:rPr>
          <w:rFonts w:cs="Arial"/>
        </w:rPr>
      </w:pPr>
      <w:r w:rsidRPr="008F0A2D">
        <w:rPr>
          <w:rFonts w:cs="Arial"/>
        </w:rPr>
        <w:t>(k)</w:t>
      </w:r>
      <w:r w:rsidRPr="008F0A2D">
        <w:rPr>
          <w:rFonts w:cs="Arial"/>
        </w:rPr>
        <w:tab/>
      </w:r>
      <w:r w:rsidRPr="008F0A2D">
        <w:rPr>
          <w:rFonts w:cs="Arial"/>
        </w:rPr>
        <w:t>to</w:t>
      </w:r>
      <w:r w:rsidRPr="008F0A2D">
        <w:rPr>
          <w:rFonts w:cs="Arial"/>
        </w:rPr>
        <w:t xml:space="preserve"> decide whether to make and promote to confirmation public path diversion orders (Section 119ZA) and a special diversion order (Section 119C(4);</w:t>
      </w:r>
    </w:p>
    <w:p w:rsidR="002B72A2" w:rsidRPr="008F0A2D" w:rsidP="002B72A2">
      <w:pPr>
        <w:shd w:val="clear" w:color="auto" w:fill="FFFFFF"/>
        <w:tabs>
          <w:tab w:val="left" w:pos="1008"/>
        </w:tabs>
        <w:ind w:left="709" w:hanging="709"/>
        <w:jc w:val="both"/>
        <w:rPr>
          <w:rFonts w:cs="Arial"/>
        </w:rPr>
      </w:pPr>
      <w:r w:rsidRPr="008F0A2D">
        <w:rPr>
          <w:rFonts w:cs="Arial"/>
        </w:rPr>
        <w:t>3.</w:t>
      </w:r>
      <w:r w:rsidRPr="008F0A2D">
        <w:rPr>
          <w:rFonts w:cs="Arial"/>
        </w:rPr>
        <w:tab/>
        <w:t>To decide whether to make orders and promote to confirmation to extinguish certain public rights of way under Section 32 of the Acquisition of Land Act 1981.</w:t>
      </w:r>
    </w:p>
    <w:p w:rsidR="002B72A2" w:rsidRPr="008F0A2D" w:rsidP="002B72A2">
      <w:pPr>
        <w:shd w:val="clear" w:color="auto" w:fill="FFFFFF"/>
        <w:tabs>
          <w:tab w:val="left" w:pos="1008"/>
        </w:tabs>
        <w:ind w:left="709" w:hanging="709"/>
        <w:jc w:val="both"/>
        <w:rPr>
          <w:rFonts w:cs="Arial"/>
        </w:rPr>
      </w:pPr>
    </w:p>
    <w:p w:rsidR="002B72A2" w:rsidRPr="008F0A2D" w:rsidP="002B72A2">
      <w:pPr>
        <w:shd w:val="clear" w:color="auto" w:fill="FFFFFF"/>
        <w:tabs>
          <w:tab w:val="left" w:pos="1008"/>
        </w:tabs>
        <w:ind w:left="709" w:hanging="709"/>
        <w:jc w:val="both"/>
        <w:rPr>
          <w:rFonts w:cs="Arial"/>
        </w:rPr>
      </w:pPr>
      <w:r w:rsidRPr="008F0A2D">
        <w:rPr>
          <w:rFonts w:cs="Arial"/>
        </w:rPr>
        <w:t>4.</w:t>
      </w:r>
      <w:r w:rsidRPr="008F0A2D">
        <w:rPr>
          <w:rFonts w:cs="Arial"/>
        </w:rPr>
        <w:tab/>
        <w:t>To decide whether to make orders and promote to confirmation orders to designate a footpath as a cycle track under Section 3 of the Cycle Tracks Act 1984.</w:t>
      </w:r>
    </w:p>
    <w:p w:rsidR="002B72A2" w:rsidRPr="008F0A2D" w:rsidP="002B72A2">
      <w:pPr>
        <w:jc w:val="both"/>
        <w:rPr>
          <w:rFonts w:cs="Arial"/>
        </w:rPr>
      </w:pPr>
    </w:p>
    <w:p w:rsidR="002B72A2" w:rsidRPr="008F0A2D" w:rsidP="002B72A2">
      <w:pPr>
        <w:tabs>
          <w:tab w:val="left" w:pos="1008"/>
        </w:tabs>
        <w:jc w:val="both"/>
        <w:rPr>
          <w:rFonts w:cs="Arial"/>
        </w:rPr>
      </w:pPr>
      <w:r w:rsidRPr="008F0A2D">
        <w:rPr>
          <w:rFonts w:cs="Arial"/>
          <w:b/>
        </w:rPr>
        <w:t>Other Licensing Registration and Regulatory Functions</w:t>
      </w:r>
    </w:p>
    <w:p w:rsidR="002B72A2" w:rsidRPr="008F0A2D" w:rsidP="002B72A2">
      <w:pPr>
        <w:tabs>
          <w:tab w:val="left" w:pos="1008"/>
        </w:tabs>
        <w:jc w:val="both"/>
        <w:rPr>
          <w:rFonts w:cs="Arial"/>
        </w:rPr>
      </w:pPr>
    </w:p>
    <w:p w:rsidR="002B72A2" w:rsidRPr="008F0A2D" w:rsidP="002B72A2">
      <w:pPr>
        <w:ind w:left="709" w:hanging="709"/>
        <w:jc w:val="both"/>
        <w:rPr>
          <w:rFonts w:cs="Arial"/>
        </w:rPr>
      </w:pPr>
      <w:r w:rsidRPr="008F0A2D">
        <w:rPr>
          <w:rFonts w:cs="Arial"/>
        </w:rPr>
        <w:t>1.</w:t>
      </w:r>
      <w:r w:rsidRPr="008F0A2D">
        <w:rPr>
          <w:rFonts w:cs="Arial"/>
        </w:rPr>
        <w:tab/>
        <w:t>To make appointments to outside bodies to which the Council is entitled to have representation in connection with the discharge of any of the Committee’s functions.</w:t>
      </w:r>
    </w:p>
    <w:p w:rsidR="002B72A2" w:rsidRPr="008F0A2D" w:rsidP="002B72A2">
      <w:pPr>
        <w:jc w:val="both"/>
        <w:rPr>
          <w:rFonts w:cs="Arial"/>
        </w:rPr>
      </w:pPr>
    </w:p>
    <w:p w:rsidR="002B72A2" w:rsidRPr="008F0A2D" w:rsidP="00B328B3">
      <w:pPr>
        <w:ind w:left="709" w:hanging="709"/>
        <w:jc w:val="both"/>
        <w:rPr>
          <w:rFonts w:cs="Arial"/>
        </w:rPr>
      </w:pPr>
      <w:r w:rsidRPr="008F0A2D">
        <w:rPr>
          <w:rFonts w:cs="Arial"/>
        </w:rPr>
        <w:t>2.</w:t>
      </w:r>
      <w:r w:rsidRPr="008F0A2D">
        <w:rPr>
          <w:rFonts w:cs="Arial"/>
        </w:rPr>
        <w:tab/>
        <w:t>To establish Sub-Committees to undertake any part of the Committee’s functions.</w:t>
      </w:r>
    </w:p>
    <w:p w:rsidR="002B72A2" w:rsidRPr="008F0A2D" w:rsidP="002B72A2">
      <w:pPr>
        <w:jc w:val="both"/>
        <w:rPr>
          <w:rFonts w:cs="Arial"/>
        </w:rPr>
      </w:pPr>
    </w:p>
    <w:p w:rsidR="00100C1D" w:rsidRPr="008F0A2D" w:rsidP="00B328B3">
      <w:pPr>
        <w:ind w:left="709" w:hanging="709"/>
        <w:jc w:val="both"/>
        <w:rPr>
          <w:rFonts w:cs="Arial"/>
        </w:rPr>
      </w:pPr>
      <w:r w:rsidRPr="008F0A2D">
        <w:rPr>
          <w:rFonts w:cs="Arial"/>
        </w:rPr>
        <w:tab/>
      </w:r>
    </w:p>
    <w:p w:rsidR="00807F01" w:rsidRPr="008F0A2D" w:rsidP="002B72A2">
      <w:pPr>
        <w:tabs>
          <w:tab w:val="left" w:pos="1008"/>
        </w:tabs>
        <w:jc w:val="both"/>
        <w:rPr>
          <w:rFonts w:cs="Arial"/>
          <w:b/>
        </w:rPr>
      </w:pPr>
      <w:r w:rsidRPr="008F0A2D">
        <w:rPr>
          <w:rFonts w:cs="Arial"/>
          <w:b/>
        </w:rPr>
        <w:t>Common Land and Town and Village Greens</w:t>
      </w:r>
    </w:p>
    <w:p w:rsidR="004F633D" w:rsidRPr="008F0A2D" w:rsidP="002B72A2">
      <w:pPr>
        <w:tabs>
          <w:tab w:val="left" w:pos="1008"/>
        </w:tabs>
        <w:jc w:val="both"/>
        <w:rPr>
          <w:rFonts w:cs="Arial"/>
          <w:b/>
        </w:rPr>
      </w:pPr>
    </w:p>
    <w:p w:rsidR="00C85812" w:rsidRPr="008F0A2D" w:rsidP="00C85812">
      <w:pPr>
        <w:ind w:left="720" w:hanging="720"/>
        <w:jc w:val="both"/>
        <w:rPr>
          <w:rFonts w:cs="Arial"/>
        </w:rPr>
      </w:pPr>
      <w:r w:rsidRPr="008F0A2D">
        <w:rPr>
          <w:rFonts w:cs="Arial"/>
        </w:rPr>
        <w:t>1.</w:t>
      </w:r>
      <w:r w:rsidRPr="008F0A2D">
        <w:rPr>
          <w:rFonts w:cs="Arial"/>
        </w:rPr>
        <w:tab/>
        <w:t>To decide whether to exercise the Council's powers under the Commons Registration Act 1965 to alter the Register in respect of applications.</w:t>
      </w:r>
    </w:p>
    <w:p w:rsidR="002B72A2" w:rsidRPr="008F0A2D" w:rsidP="002B72A2">
      <w:pPr>
        <w:jc w:val="both"/>
        <w:rPr>
          <w:rFonts w:cs="Arial"/>
        </w:rPr>
      </w:pPr>
      <w:r w:rsidRPr="008F0A2D">
        <w:rPr>
          <w:rFonts w:cs="Arial"/>
        </w:rPr>
        <w:t xml:space="preserve"> </w:t>
      </w:r>
    </w:p>
    <w:p w:rsidR="002B72A2" w:rsidRPr="008F0A2D" w:rsidP="00C85812">
      <w:pPr>
        <w:ind w:left="720" w:hanging="720"/>
        <w:rPr>
          <w:rFonts w:cs="Arial"/>
        </w:rPr>
      </w:pPr>
      <w:r w:rsidRPr="008F0A2D">
        <w:rPr>
          <w:rFonts w:cs="Arial"/>
        </w:rPr>
        <w:t>2.</w:t>
      </w:r>
      <w:r w:rsidRPr="008F0A2D">
        <w:rPr>
          <w:rFonts w:cs="Arial"/>
        </w:rPr>
        <w:tab/>
        <w:t>To make recommendations to the Cabinet on matters under the Commons Registration Act 1965 as amended and Regulations thereunder where responsibility lies with the Cabinet.</w:t>
      </w:r>
    </w:p>
    <w:p w:rsidR="002B72A2" w:rsidRPr="008F0A2D" w:rsidP="002B72A2">
      <w:pPr>
        <w:jc w:val="both"/>
        <w:rPr>
          <w:rFonts w:cs="Arial"/>
        </w:rPr>
      </w:pPr>
    </w:p>
    <w:p w:rsidR="00EA7801" w:rsidRPr="008F0A2D" w:rsidP="00C85812">
      <w:pPr>
        <w:ind w:left="720" w:hanging="720"/>
        <w:rPr>
          <w:rFonts w:cs="Arial"/>
        </w:rPr>
      </w:pPr>
      <w:r w:rsidRPr="008F0A2D">
        <w:rPr>
          <w:rFonts w:cs="Arial"/>
        </w:rPr>
        <w:t>3.</w:t>
      </w:r>
      <w:r w:rsidRPr="008F0A2D">
        <w:rPr>
          <w:rFonts w:cs="Arial"/>
        </w:rPr>
        <w:tab/>
        <w:t>To make decisions on applications and proposals as determining authority under Part 1 Commons Act 2006 save for those under Regulation 43 of the Regulations thereunder.</w:t>
      </w:r>
    </w:p>
    <w:p w:rsidR="00EA7801" w:rsidRPr="008F0A2D" w:rsidP="002B72A2">
      <w:pPr>
        <w:rPr>
          <w:rFonts w:cs="Arial"/>
        </w:rPr>
      </w:pPr>
    </w:p>
    <w:p w:rsidR="00FF0E65" w:rsidRPr="008F0A2D" w:rsidP="00C85812">
      <w:pPr>
        <w:ind w:left="720" w:hanging="720"/>
        <w:rPr>
          <w:rFonts w:cs="Arial"/>
        </w:rPr>
      </w:pPr>
      <w:r w:rsidRPr="008F0A2D">
        <w:rPr>
          <w:rFonts w:cs="Arial"/>
        </w:rPr>
        <w:t>4.</w:t>
      </w:r>
      <w:r w:rsidRPr="008F0A2D">
        <w:rPr>
          <w:rFonts w:cs="Arial"/>
        </w:rPr>
        <w:tab/>
        <w:t xml:space="preserve">To decide whether to apply to the Secretary of State as owner for de-registration of Common Land or Town or Village Green under S 16 Commons </w:t>
      </w:r>
      <w:r w:rsidR="0081478C">
        <w:rPr>
          <w:rFonts w:cs="Arial"/>
        </w:rPr>
        <w:t>A</w:t>
      </w:r>
      <w:r w:rsidRPr="008F0A2D">
        <w:rPr>
          <w:rFonts w:cs="Arial"/>
        </w:rPr>
        <w:t>ct 2006.</w:t>
      </w:r>
    </w:p>
    <w:p w:rsidR="00807F01" w:rsidRPr="008F0A2D" w:rsidP="00C85812">
      <w:pPr>
        <w:ind w:left="720" w:hanging="720"/>
        <w:rPr>
          <w:rFonts w:cs="Arial"/>
        </w:rPr>
      </w:pPr>
    </w:p>
    <w:p w:rsidR="00807F01" w:rsidRPr="008F0A2D" w:rsidP="00807F01">
      <w:pPr>
        <w:ind w:left="709" w:hanging="709"/>
        <w:jc w:val="both"/>
        <w:rPr>
          <w:rFonts w:cs="Arial"/>
        </w:rPr>
      </w:pPr>
      <w:r>
        <w:rPr>
          <w:rFonts w:cs="Arial"/>
        </w:rPr>
        <w:t>5</w:t>
      </w:r>
      <w:r w:rsidRPr="008F0A2D" w:rsidR="009978B0">
        <w:rPr>
          <w:rFonts w:cs="Arial"/>
        </w:rPr>
        <w:t>.</w:t>
      </w:r>
      <w:r w:rsidRPr="008F0A2D" w:rsidR="009978B0">
        <w:rPr>
          <w:rFonts w:cs="Arial"/>
        </w:rPr>
        <w:tab/>
        <w:t>To decide whether to take steps and what steps to take to protect unclaimed common land or town or village greens against unlawful interference and whether to institute proceedings under Section 45 of the Commons Act 2006.</w:t>
      </w:r>
    </w:p>
    <w:p w:rsidR="00807F01" w:rsidRPr="008F0A2D" w:rsidP="00C85812">
      <w:pPr>
        <w:ind w:left="720" w:hanging="720"/>
        <w:rPr>
          <w:rFonts w:cs="Arial"/>
        </w:rPr>
      </w:pPr>
    </w:p>
    <w:p w:rsidR="00807F01" w:rsidRPr="008F0A2D" w:rsidP="004F633D">
      <w:pPr>
        <w:ind w:left="709" w:hanging="709"/>
        <w:jc w:val="both"/>
        <w:rPr>
          <w:rFonts w:cs="Arial"/>
        </w:rPr>
      </w:pPr>
      <w:r w:rsidRPr="008F0A2D">
        <w:rPr>
          <w:rFonts w:cs="Arial"/>
        </w:rPr>
        <w:t>6.</w:t>
      </w:r>
      <w:r w:rsidRPr="008F0A2D">
        <w:rPr>
          <w:rFonts w:cs="Arial"/>
        </w:rPr>
        <w:tab/>
        <w:t>To decide whether to apply to the Court for orders against unlawful works on common land under Section 41 of the Commons Act 2006.</w:t>
      </w:r>
    </w:p>
    <w:sectPr w:rsidSect="00D02DBD">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01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01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01C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01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01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01C7" w:rsidP="008301C7">
    <w:pPr>
      <w:pStyle w:val="Header"/>
      <w:jc w:val="right"/>
    </w:pPr>
    <w:bookmarkStart w:id="0" w:name="_GoBack"/>
    <w:r>
      <w:t xml:space="preserve">Appendix </w:t>
    </w:r>
    <w:bookmarkEnd w:id="0"/>
    <w: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F82095"/>
    <w:multiLevelType w:val="singleLevel"/>
    <w:tmpl w:val="5446696A"/>
    <w:lvl w:ilvl="0">
      <w:start w:val="2"/>
      <w:numFmt w:val="decimal"/>
      <w:lvlText w:val="%1."/>
      <w:lvlJc w:val="left"/>
      <w:pPr>
        <w:tabs>
          <w:tab w:val="num" w:pos="720"/>
        </w:tabs>
        <w:ind w:left="720" w:hanging="720"/>
      </w:pPr>
    </w:lvl>
  </w:abstractNum>
  <w:abstractNum w:abstractNumId="1">
    <w:nsid w:val="12F90315"/>
    <w:multiLevelType w:val="singleLevel"/>
    <w:tmpl w:val="CB96E420"/>
    <w:lvl w:ilvl="0">
      <w:start w:val="17"/>
      <w:numFmt w:val="lowerLetter"/>
      <w:lvlText w:val="(%1)"/>
      <w:lvlJc w:val="left"/>
      <w:pPr>
        <w:tabs>
          <w:tab w:val="num" w:pos="1065"/>
        </w:tabs>
        <w:ind w:left="1065" w:hanging="360"/>
      </w:pPr>
    </w:lvl>
  </w:abstractNum>
  <w:abstractNum w:abstractNumId="2">
    <w:nsid w:val="2C15600B"/>
    <w:multiLevelType w:val="singleLevel"/>
    <w:tmpl w:val="A800BBCC"/>
    <w:lvl w:ilvl="0">
      <w:start w:val="3"/>
      <w:numFmt w:val="decimal"/>
      <w:lvlText w:val="%1."/>
      <w:lvlJc w:val="left"/>
      <w:pPr>
        <w:tabs>
          <w:tab w:val="num" w:pos="720"/>
        </w:tabs>
        <w:ind w:left="720" w:hanging="720"/>
      </w:pPr>
    </w:lvl>
  </w:abstractNum>
  <w:abstractNum w:abstractNumId="3">
    <w:nsid w:val="2FD11161"/>
    <w:multiLevelType w:val="singleLevel"/>
    <w:tmpl w:val="2F8458A2"/>
    <w:lvl w:ilvl="0">
      <w:start w:val="1"/>
      <w:numFmt w:val="decimal"/>
      <w:lvlText w:val="%1."/>
      <w:lvlJc w:val="left"/>
      <w:pPr>
        <w:tabs>
          <w:tab w:val="num" w:pos="720"/>
        </w:tabs>
        <w:ind w:left="720" w:hanging="720"/>
      </w:pPr>
    </w:lvl>
  </w:abstractNum>
  <w:abstractNum w:abstractNumId="4">
    <w:nsid w:val="396063DC"/>
    <w:multiLevelType w:val="hybridMultilevel"/>
    <w:tmpl w:val="EC3C420E"/>
    <w:lvl w:ilvl="0">
      <w:start w:val="1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29D0623"/>
    <w:multiLevelType w:val="hybridMultilevel"/>
    <w:tmpl w:val="EC3C420E"/>
    <w:lvl w:ilvl="0">
      <w:start w:val="1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lvlOverride w:ilvl="0">
      <w:startOverride w:val="17"/>
    </w:lvlOverride>
  </w:num>
  <w:num w:numId="2">
    <w:abstractNumId w:val="0"/>
    <w:lvlOverride w:ilvl="0">
      <w:startOverride w:val="2"/>
    </w:lvlOverride>
  </w:num>
  <w:num w:numId="3">
    <w:abstractNumId w:val="2"/>
    <w:lvlOverride w:ilvl="0">
      <w:startOverride w:val="3"/>
    </w:lvlOverride>
  </w:num>
  <w:num w:numId="4">
    <w:abstractNumId w:val="3"/>
    <w:lvlOverride w:ilvl="0">
      <w:startOverride w:val="1"/>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2A2"/>
    <w:pPr>
      <w:spacing w:after="0" w:line="240" w:lineRule="auto"/>
    </w:pPr>
    <w:rPr>
      <w:rFonts w:eastAsia="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
    <w:basedOn w:val="Normal"/>
    <w:link w:val="FooterChar"/>
    <w:uiPriority w:val="99"/>
    <w:rsid w:val="002B72A2"/>
    <w:pPr>
      <w:tabs>
        <w:tab w:val="center" w:pos="4153"/>
        <w:tab w:val="right" w:pos="8306"/>
      </w:tabs>
    </w:pPr>
    <w:rPr>
      <w:rFonts w:ascii="Univers" w:hAnsi="Univers"/>
      <w:sz w:val="22"/>
      <w:szCs w:val="20"/>
    </w:rPr>
  </w:style>
  <w:style w:type="character" w:customStyle="1" w:styleId="FooterChar">
    <w:name w:val="Footer Char"/>
    <w:aliases w:val=" Char Char"/>
    <w:basedOn w:val="DefaultParagraphFont"/>
    <w:link w:val="Footer"/>
    <w:uiPriority w:val="99"/>
    <w:rsid w:val="002B72A2"/>
    <w:rPr>
      <w:rFonts w:ascii="Univers" w:eastAsia="Times New Roman" w:hAnsi="Univers" w:cs="Times New Roman"/>
      <w:sz w:val="22"/>
      <w:szCs w:val="20"/>
      <w:lang w:eastAsia="en-GB"/>
    </w:rPr>
  </w:style>
  <w:style w:type="character" w:styleId="PageNumber">
    <w:name w:val="page number"/>
    <w:basedOn w:val="DefaultParagraphFont"/>
    <w:rsid w:val="002B72A2"/>
  </w:style>
  <w:style w:type="paragraph" w:styleId="BodyTextIndent2">
    <w:name w:val="Body Text Indent 2"/>
    <w:basedOn w:val="Normal"/>
    <w:link w:val="BodyTextIndent2Char"/>
    <w:rsid w:val="002B72A2"/>
    <w:pPr>
      <w:spacing w:after="120" w:line="480" w:lineRule="auto"/>
      <w:ind w:left="283"/>
    </w:pPr>
  </w:style>
  <w:style w:type="character" w:customStyle="1" w:styleId="BodyTextIndent2Char">
    <w:name w:val="Body Text Indent 2 Char"/>
    <w:basedOn w:val="DefaultParagraphFont"/>
    <w:link w:val="BodyTextIndent2"/>
    <w:rsid w:val="002B72A2"/>
    <w:rPr>
      <w:rFonts w:eastAsia="Times New Roman" w:cs="Times New Roman"/>
      <w:lang w:eastAsia="en-GB"/>
    </w:rPr>
  </w:style>
  <w:style w:type="paragraph" w:styleId="BalloonText">
    <w:name w:val="Balloon Text"/>
    <w:basedOn w:val="Normal"/>
    <w:link w:val="BalloonTextChar"/>
    <w:uiPriority w:val="99"/>
    <w:semiHidden/>
    <w:unhideWhenUsed/>
    <w:rsid w:val="0035018C"/>
    <w:rPr>
      <w:rFonts w:ascii="Tahoma" w:hAnsi="Tahoma" w:cs="Tahoma"/>
      <w:sz w:val="16"/>
      <w:szCs w:val="16"/>
    </w:rPr>
  </w:style>
  <w:style w:type="character" w:customStyle="1" w:styleId="BalloonTextChar">
    <w:name w:val="Balloon Text Char"/>
    <w:basedOn w:val="DefaultParagraphFont"/>
    <w:link w:val="BalloonText"/>
    <w:uiPriority w:val="99"/>
    <w:semiHidden/>
    <w:rsid w:val="0035018C"/>
    <w:rPr>
      <w:rFonts w:ascii="Tahoma" w:eastAsia="Times New Roman" w:hAnsi="Tahoma" w:cs="Tahoma"/>
      <w:sz w:val="16"/>
      <w:szCs w:val="16"/>
      <w:lang w:eastAsia="en-GB"/>
    </w:rPr>
  </w:style>
  <w:style w:type="paragraph" w:styleId="ListParagraph">
    <w:name w:val="List Paragraph"/>
    <w:basedOn w:val="Normal"/>
    <w:uiPriority w:val="34"/>
    <w:qFormat/>
    <w:rsid w:val="00FF0E65"/>
    <w:pPr>
      <w:ind w:left="720"/>
      <w:contextualSpacing/>
    </w:pPr>
  </w:style>
  <w:style w:type="paragraph" w:styleId="Header">
    <w:name w:val="header"/>
    <w:basedOn w:val="Normal"/>
    <w:link w:val="HeaderChar"/>
    <w:uiPriority w:val="99"/>
    <w:unhideWhenUsed/>
    <w:rsid w:val="00C85812"/>
    <w:pPr>
      <w:tabs>
        <w:tab w:val="center" w:pos="4513"/>
        <w:tab w:val="right" w:pos="9026"/>
      </w:tabs>
    </w:pPr>
  </w:style>
  <w:style w:type="character" w:customStyle="1" w:styleId="HeaderChar">
    <w:name w:val="Header Char"/>
    <w:basedOn w:val="DefaultParagraphFont"/>
    <w:link w:val="Header"/>
    <w:uiPriority w:val="99"/>
    <w:rsid w:val="00C85812"/>
    <w:rPr>
      <w:rFonts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120C9-BF5F-49F9-9DFF-6CB33F55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jturner004</dc:creator>
  <cp:lastModifiedBy>Mansfield, Joanne</cp:lastModifiedBy>
  <cp:revision>5</cp:revision>
  <dcterms:created xsi:type="dcterms:W3CDTF">2018-06-22T08:16:00Z</dcterms:created>
  <dcterms:modified xsi:type="dcterms:W3CDTF">2019-06-05T08:24:00Z</dcterms:modified>
</cp:coreProperties>
</file>